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E5" w:rsidRPr="00E83221" w:rsidRDefault="00EE4A3F" w:rsidP="00E83221">
      <w:pPr>
        <w:jc w:val="center"/>
        <w:rPr>
          <w:rFonts w:ascii="Tahoma" w:hAnsi="Tahoma" w:cs="Tahoma"/>
          <w:b/>
        </w:rPr>
      </w:pPr>
      <w:r w:rsidRPr="00E83221">
        <w:rPr>
          <w:rFonts w:ascii="Tahoma" w:hAnsi="Tahoma" w:cs="Tahoma"/>
          <w:b/>
        </w:rPr>
        <w:t>Febrero</w:t>
      </w:r>
    </w:p>
    <w:p w:rsidR="00D05EA4" w:rsidRDefault="000E644D" w:rsidP="00D05EA4">
      <w:pPr>
        <w:jc w:val="center"/>
      </w:pPr>
      <w:r>
        <w:rPr>
          <w:noProof/>
          <w:lang w:eastAsia="es-MX"/>
        </w:rPr>
        <w:drawing>
          <wp:inline distT="0" distB="0" distL="0" distR="0" wp14:anchorId="7251643F" wp14:editId="377FC397">
            <wp:extent cx="7819078" cy="4850296"/>
            <wp:effectExtent l="133350" t="95250" r="125095" b="16002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a 2013 imagen boletin.bmp"/>
                    <pic:cNvPicPr/>
                  </pic:nvPicPr>
                  <pic:blipFill rotWithShape="1">
                    <a:blip r:embed="rId5" cstate="print">
                      <a:extLst>
                        <a:ext uri="{28A0092B-C50C-407E-A947-70E740481C1C}">
                          <a14:useLocalDpi xmlns:a14="http://schemas.microsoft.com/office/drawing/2010/main" val="0"/>
                        </a:ext>
                      </a:extLst>
                    </a:blip>
                    <a:srcRect l="3911" t="6781" r="3831" b="6199"/>
                    <a:stretch/>
                  </pic:blipFill>
                  <pic:spPr bwMode="auto">
                    <a:xfrm>
                      <a:off x="0" y="0"/>
                      <a:ext cx="7816522" cy="48487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D05EA4" w:rsidRPr="00E83221">
        <w:rPr>
          <w:rFonts w:ascii="Tahoma" w:hAnsi="Tahoma" w:cs="Tahoma"/>
          <w:b/>
          <w:sz w:val="24"/>
          <w:szCs w:val="24"/>
        </w:rPr>
        <w:t>Pacifico mexicano</w:t>
      </w:r>
    </w:p>
    <w:tbl>
      <w:tblPr>
        <w:tblStyle w:val="Cuadrculavistosa-nfasis5"/>
        <w:tblW w:w="12724" w:type="dxa"/>
        <w:tblLook w:val="04A0" w:firstRow="1" w:lastRow="0" w:firstColumn="1" w:lastColumn="0" w:noHBand="0" w:noVBand="1"/>
      </w:tblPr>
      <w:tblGrid>
        <w:gridCol w:w="959"/>
        <w:gridCol w:w="11765"/>
      </w:tblGrid>
      <w:tr w:rsidR="00EE4A3F" w:rsidRPr="00E36F52" w:rsidTr="00E83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EE4A3F" w:rsidRPr="00E36F52" w:rsidRDefault="00EE4A3F" w:rsidP="00BD6294">
            <w:r w:rsidRPr="00E36F52">
              <w:t>Región</w:t>
            </w:r>
          </w:p>
        </w:tc>
        <w:tc>
          <w:tcPr>
            <w:tcW w:w="11765" w:type="dxa"/>
          </w:tcPr>
          <w:p w:rsidR="00EE4A3F" w:rsidRPr="00E36F52" w:rsidRDefault="00EE4A3F" w:rsidP="00E83221">
            <w:pPr>
              <w:jc w:val="center"/>
              <w:cnfStyle w:val="100000000000" w:firstRow="1" w:lastRow="0" w:firstColumn="0" w:lastColumn="0" w:oddVBand="0" w:evenVBand="0" w:oddHBand="0" w:evenHBand="0" w:firstRowFirstColumn="0" w:firstRowLastColumn="0" w:lastRowFirstColumn="0" w:lastRowLastColumn="0"/>
            </w:pPr>
            <w:proofErr w:type="spellStart"/>
            <w:r w:rsidRPr="00E36F52">
              <w:t>Chla</w:t>
            </w:r>
            <w:proofErr w:type="spellEnd"/>
          </w:p>
        </w:tc>
      </w:tr>
      <w:tr w:rsidR="00EE4A3F" w:rsidRPr="00E36F52" w:rsidTr="00E8322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59" w:type="dxa"/>
            <w:textDirection w:val="btLr"/>
          </w:tcPr>
          <w:p w:rsidR="00EE4A3F" w:rsidRPr="00E36F52" w:rsidRDefault="00EE4A3F" w:rsidP="00926CAD">
            <w:pPr>
              <w:jc w:val="center"/>
            </w:pPr>
            <w:r w:rsidRPr="00E36F52">
              <w:t>Costa occidental de Baja California</w:t>
            </w:r>
          </w:p>
        </w:tc>
        <w:tc>
          <w:tcPr>
            <w:tcW w:w="11765" w:type="dxa"/>
          </w:tcPr>
          <w:p w:rsidR="00EE4A3F" w:rsidRPr="00E36F52" w:rsidRDefault="00EE4A3F" w:rsidP="00BD6294">
            <w:pPr>
              <w:cnfStyle w:val="000000100000" w:firstRow="0" w:lastRow="0" w:firstColumn="0" w:lastColumn="0" w:oddVBand="0" w:evenVBand="0" w:oddHBand="1" w:evenHBand="0" w:firstRowFirstColumn="0" w:firstRowLastColumn="0" w:lastRowFirstColumn="0" w:lastRowLastColumn="0"/>
            </w:pPr>
            <w:r w:rsidRPr="00E36F52">
              <w:t>Concentraciones superiores a 0.5 mg/m3, en una franja amplia a lo largo de toda la costa.</w:t>
            </w:r>
          </w:p>
          <w:p w:rsidR="00EE4A3F" w:rsidRPr="00E36F52" w:rsidRDefault="00EE4A3F" w:rsidP="00BD6294">
            <w:pPr>
              <w:cnfStyle w:val="000000100000" w:firstRow="0" w:lastRow="0" w:firstColumn="0" w:lastColumn="0" w:oddVBand="0" w:evenVBand="0" w:oddHBand="1" w:evenHBand="0" w:firstRowFirstColumn="0" w:firstRowLastColumn="0" w:lastRowFirstColumn="0" w:lastRowLastColumn="0"/>
            </w:pPr>
            <w:r w:rsidRPr="00E36F52">
              <w:t xml:space="preserve"> Al sur de Ensenada la  concentración supera 3 mg/m3</w:t>
            </w:r>
          </w:p>
          <w:p w:rsidR="00EE4A3F" w:rsidRPr="00E36F52" w:rsidRDefault="00EE4A3F" w:rsidP="00BD6294">
            <w:pPr>
              <w:cnfStyle w:val="000000100000" w:firstRow="0" w:lastRow="0" w:firstColumn="0" w:lastColumn="0" w:oddVBand="0" w:evenVBand="0" w:oddHBand="1" w:evenHBand="0" w:firstRowFirstColumn="0" w:firstRowLastColumn="0" w:lastRowFirstColumn="0" w:lastRowLastColumn="0"/>
            </w:pPr>
          </w:p>
        </w:tc>
      </w:tr>
      <w:tr w:rsidR="00EE4A3F" w:rsidRPr="00E36F52" w:rsidTr="00E83221">
        <w:trPr>
          <w:trHeight w:val="1134"/>
        </w:trPr>
        <w:tc>
          <w:tcPr>
            <w:cnfStyle w:val="001000000000" w:firstRow="0" w:lastRow="0" w:firstColumn="1" w:lastColumn="0" w:oddVBand="0" w:evenVBand="0" w:oddHBand="0" w:evenHBand="0" w:firstRowFirstColumn="0" w:firstRowLastColumn="0" w:lastRowFirstColumn="0" w:lastRowLastColumn="0"/>
            <w:tcW w:w="959" w:type="dxa"/>
            <w:textDirection w:val="btLr"/>
          </w:tcPr>
          <w:p w:rsidR="00EE4A3F" w:rsidRPr="00E36F52" w:rsidRDefault="00EE4A3F" w:rsidP="00926CAD">
            <w:pPr>
              <w:jc w:val="center"/>
            </w:pPr>
            <w:r w:rsidRPr="00E36F52">
              <w:t>Golfo de California</w:t>
            </w:r>
          </w:p>
        </w:tc>
        <w:tc>
          <w:tcPr>
            <w:tcW w:w="11765" w:type="dxa"/>
          </w:tcPr>
          <w:p w:rsidR="00EE4A3F" w:rsidRPr="00E36F52" w:rsidRDefault="00EE4A3F" w:rsidP="00BD6294">
            <w:pPr>
              <w:cnfStyle w:val="000000000000" w:firstRow="0" w:lastRow="0" w:firstColumn="0" w:lastColumn="0" w:oddVBand="0" w:evenVBand="0" w:oddHBand="0" w:evenHBand="0" w:firstRowFirstColumn="0" w:firstRowLastColumn="0" w:lastRowFirstColumn="0" w:lastRowLastColumn="0"/>
            </w:pPr>
            <w:r w:rsidRPr="00E36F52">
              <w:t xml:space="preserve">Concentraciones elevadas (&gt; </w:t>
            </w:r>
            <w:proofErr w:type="gramStart"/>
            <w:r w:rsidRPr="00E36F52">
              <w:t>3 )</w:t>
            </w:r>
            <w:proofErr w:type="gramEnd"/>
            <w:r w:rsidRPr="00E36F52">
              <w:t xml:space="preserve"> en la desembocadura del rio Colorado.</w:t>
            </w:r>
          </w:p>
          <w:p w:rsidR="00EE4A3F" w:rsidRPr="00E36F52" w:rsidRDefault="00EE4A3F" w:rsidP="00BD6294">
            <w:pPr>
              <w:cnfStyle w:val="000000000000" w:firstRow="0" w:lastRow="0" w:firstColumn="0" w:lastColumn="0" w:oddVBand="0" w:evenVBand="0" w:oddHBand="0" w:evenHBand="0" w:firstRowFirstColumn="0" w:firstRowLastColumn="0" w:lastRowFirstColumn="0" w:lastRowLastColumn="0"/>
            </w:pPr>
            <w:r w:rsidRPr="00E36F52">
              <w:t>En una franja ubicada al norte por las islas de Tiburón y Ángel de la Guarda y al sur por la Bahía de La Paz las concentraciones son mayores a 1 mg/m3. Se registran concentraciones muy elevadas (&gt;5mg/m3) en varias zonas de la costa de Sonora, Sinaloa y BCS.</w:t>
            </w:r>
          </w:p>
        </w:tc>
      </w:tr>
      <w:tr w:rsidR="00EE4A3F" w:rsidRPr="00E36F52" w:rsidTr="00E8322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59" w:type="dxa"/>
            <w:textDirection w:val="btLr"/>
          </w:tcPr>
          <w:p w:rsidR="00EE4A3F" w:rsidRDefault="00EE4A3F" w:rsidP="00926CAD">
            <w:pPr>
              <w:jc w:val="center"/>
            </w:pPr>
            <w:r w:rsidRPr="00E36F52">
              <w:t>Pacifico Central</w:t>
            </w:r>
          </w:p>
          <w:p w:rsidR="00EE4A3F" w:rsidRPr="00E36F52" w:rsidRDefault="00EE4A3F" w:rsidP="00926CAD">
            <w:pPr>
              <w:jc w:val="center"/>
            </w:pPr>
            <w:r w:rsidRPr="00E36F52">
              <w:t>(Jal</w:t>
            </w:r>
            <w:r>
              <w:t>.</w:t>
            </w:r>
            <w:r w:rsidRPr="00E36F52">
              <w:t>-Col</w:t>
            </w:r>
            <w:r>
              <w:t>.</w:t>
            </w:r>
            <w:r w:rsidRPr="00E36F52">
              <w:t>-</w:t>
            </w:r>
            <w:proofErr w:type="spellStart"/>
            <w:r w:rsidRPr="00E36F52">
              <w:t>Mich</w:t>
            </w:r>
            <w:proofErr w:type="spellEnd"/>
            <w:r>
              <w:t>.</w:t>
            </w:r>
            <w:r w:rsidRPr="00E36F52">
              <w:t>)</w:t>
            </w:r>
          </w:p>
        </w:tc>
        <w:tc>
          <w:tcPr>
            <w:tcW w:w="11765" w:type="dxa"/>
          </w:tcPr>
          <w:p w:rsidR="00EE4A3F" w:rsidRPr="00E36F52" w:rsidRDefault="00EE4A3F" w:rsidP="00BD6294">
            <w:pPr>
              <w:cnfStyle w:val="000000100000" w:firstRow="0" w:lastRow="0" w:firstColumn="0" w:lastColumn="0" w:oddVBand="0" w:evenVBand="0" w:oddHBand="1" w:evenHBand="0" w:firstRowFirstColumn="0" w:firstRowLastColumn="0" w:lastRowFirstColumn="0" w:lastRowLastColumn="0"/>
            </w:pPr>
            <w:r w:rsidRPr="00E36F52">
              <w:t xml:space="preserve">Concentraciones &gt; a 0.5 en toda la costa de Jalisco y Colima. Se observan cantidades mayores a 1 mg/m3 en Bahía de Banderas. </w:t>
            </w:r>
          </w:p>
        </w:tc>
      </w:tr>
      <w:tr w:rsidR="00EE4A3F" w:rsidRPr="00E36F52" w:rsidTr="00E83221">
        <w:trPr>
          <w:trHeight w:val="1134"/>
        </w:trPr>
        <w:tc>
          <w:tcPr>
            <w:cnfStyle w:val="001000000000" w:firstRow="0" w:lastRow="0" w:firstColumn="1" w:lastColumn="0" w:oddVBand="0" w:evenVBand="0" w:oddHBand="0" w:evenHBand="0" w:firstRowFirstColumn="0" w:firstRowLastColumn="0" w:lastRowFirstColumn="0" w:lastRowLastColumn="0"/>
            <w:tcW w:w="959" w:type="dxa"/>
            <w:textDirection w:val="btLr"/>
          </w:tcPr>
          <w:p w:rsidR="00EE4A3F" w:rsidRPr="00E36F52" w:rsidRDefault="00EE4A3F" w:rsidP="00926CAD">
            <w:pPr>
              <w:jc w:val="center"/>
            </w:pPr>
            <w:r w:rsidRPr="00E36F52">
              <w:t>Guerrero-Oaxaca</w:t>
            </w:r>
          </w:p>
        </w:tc>
        <w:tc>
          <w:tcPr>
            <w:tcW w:w="11765" w:type="dxa"/>
          </w:tcPr>
          <w:p w:rsidR="00EE4A3F" w:rsidRPr="00E36F52" w:rsidRDefault="00EE4A3F" w:rsidP="00BD6294">
            <w:pPr>
              <w:cnfStyle w:val="000000000000" w:firstRow="0" w:lastRow="0" w:firstColumn="0" w:lastColumn="0" w:oddVBand="0" w:evenVBand="0" w:oddHBand="0" w:evenHBand="0" w:firstRowFirstColumn="0" w:firstRowLastColumn="0" w:lastRowFirstColumn="0" w:lastRowLastColumn="0"/>
            </w:pPr>
            <w:r w:rsidRPr="00E36F52">
              <w:t>Franja muy estrecha, paralela a la costa, con concentraciones superiores a 0.5 mg/m3</w:t>
            </w:r>
          </w:p>
        </w:tc>
      </w:tr>
      <w:tr w:rsidR="00EE4A3F" w:rsidRPr="00E36F52" w:rsidTr="00E8322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59" w:type="dxa"/>
            <w:textDirection w:val="btLr"/>
          </w:tcPr>
          <w:p w:rsidR="00EE4A3F" w:rsidRPr="00E36F52" w:rsidRDefault="00EE4A3F" w:rsidP="00BD6294">
            <w:pPr>
              <w:jc w:val="center"/>
            </w:pPr>
            <w:r w:rsidRPr="00E36F52">
              <w:t>Golfo de Tehuantepec</w:t>
            </w:r>
          </w:p>
        </w:tc>
        <w:tc>
          <w:tcPr>
            <w:tcW w:w="11765" w:type="dxa"/>
          </w:tcPr>
          <w:p w:rsidR="00EE4A3F" w:rsidRPr="00E36F52" w:rsidRDefault="00EE4A3F" w:rsidP="00BD6294">
            <w:pPr>
              <w:cnfStyle w:val="000000100000" w:firstRow="0" w:lastRow="0" w:firstColumn="0" w:lastColumn="0" w:oddVBand="0" w:evenVBand="0" w:oddHBand="1" w:evenHBand="0" w:firstRowFirstColumn="0" w:firstRowLastColumn="0" w:lastRowFirstColumn="0" w:lastRowLastColumn="0"/>
            </w:pPr>
            <w:r w:rsidRPr="00E36F52">
              <w:t xml:space="preserve">Elevadas concentraciones (&gt; 1 mg/m3) al sur de Salina Cruz (SCX), en especial en un área comprendida entre Puerto Escondido y SCX; el área cubierta por valores mayores a 0.5 abarca hasta los 13 </w:t>
            </w:r>
            <w:proofErr w:type="spellStart"/>
            <w:r w:rsidRPr="00E36F52">
              <w:t>°N</w:t>
            </w:r>
            <w:proofErr w:type="spellEnd"/>
          </w:p>
        </w:tc>
      </w:tr>
      <w:tr w:rsidR="00EE4A3F" w:rsidTr="00E83221">
        <w:trPr>
          <w:trHeight w:val="1134"/>
        </w:trPr>
        <w:tc>
          <w:tcPr>
            <w:cnfStyle w:val="001000000000" w:firstRow="0" w:lastRow="0" w:firstColumn="1" w:lastColumn="0" w:oddVBand="0" w:evenVBand="0" w:oddHBand="0" w:evenHBand="0" w:firstRowFirstColumn="0" w:firstRowLastColumn="0" w:lastRowFirstColumn="0" w:lastRowLastColumn="0"/>
            <w:tcW w:w="959" w:type="dxa"/>
            <w:textDirection w:val="btLr"/>
          </w:tcPr>
          <w:p w:rsidR="00EE4A3F" w:rsidRPr="00E36F52" w:rsidRDefault="00EE4A3F" w:rsidP="00BD6294">
            <w:pPr>
              <w:jc w:val="center"/>
            </w:pPr>
            <w:r w:rsidRPr="00E36F52">
              <w:t>Chiapas</w:t>
            </w:r>
          </w:p>
        </w:tc>
        <w:tc>
          <w:tcPr>
            <w:tcW w:w="11765" w:type="dxa"/>
          </w:tcPr>
          <w:p w:rsidR="00EE4A3F" w:rsidRPr="00E36F52" w:rsidRDefault="00EE4A3F" w:rsidP="00BD6294">
            <w:pPr>
              <w:cnfStyle w:val="000000000000" w:firstRow="0" w:lastRow="0" w:firstColumn="0" w:lastColumn="0" w:oddVBand="0" w:evenVBand="0" w:oddHBand="0" w:evenHBand="0" w:firstRowFirstColumn="0" w:firstRowLastColumn="0" w:lastRowFirstColumn="0" w:lastRowLastColumn="0"/>
            </w:pPr>
            <w:r w:rsidRPr="00E36F52">
              <w:t>Franja muy estrecha de concentraciones superiores a 0.5 mg/m3</w:t>
            </w:r>
          </w:p>
        </w:tc>
      </w:tr>
    </w:tbl>
    <w:p w:rsidR="00D05EA4" w:rsidRDefault="00D05EA4" w:rsidP="00D05EA4">
      <w:pPr>
        <w:jc w:val="center"/>
      </w:pPr>
    </w:p>
    <w:p w:rsidR="00EE4A3F" w:rsidRPr="00E83221" w:rsidRDefault="00EE4A3F" w:rsidP="00E83221">
      <w:pPr>
        <w:spacing w:after="0" w:line="240" w:lineRule="auto"/>
        <w:jc w:val="center"/>
        <w:rPr>
          <w:rFonts w:ascii="Tahoma" w:hAnsi="Tahoma" w:cs="Tahoma"/>
          <w:b/>
          <w:sz w:val="28"/>
          <w:szCs w:val="28"/>
        </w:rPr>
      </w:pPr>
      <w:r w:rsidRPr="00E83221">
        <w:rPr>
          <w:rFonts w:ascii="Tahoma" w:hAnsi="Tahoma" w:cs="Tahoma"/>
          <w:b/>
          <w:sz w:val="28"/>
          <w:szCs w:val="28"/>
        </w:rPr>
        <w:t>Golfo de México y Mar Caribe</w:t>
      </w:r>
    </w:p>
    <w:tbl>
      <w:tblPr>
        <w:tblStyle w:val="Cuadrculavistosa-nfasis1"/>
        <w:tblW w:w="12724" w:type="dxa"/>
        <w:tblLook w:val="04A0" w:firstRow="1" w:lastRow="0" w:firstColumn="1" w:lastColumn="0" w:noHBand="0" w:noVBand="1"/>
      </w:tblPr>
      <w:tblGrid>
        <w:gridCol w:w="958"/>
        <w:gridCol w:w="11766"/>
      </w:tblGrid>
      <w:tr w:rsidR="00EE4A3F" w:rsidTr="00E83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EE4A3F" w:rsidRDefault="00EE4A3F" w:rsidP="00BD6294">
            <w:r>
              <w:t>Región</w:t>
            </w:r>
          </w:p>
        </w:tc>
        <w:tc>
          <w:tcPr>
            <w:tcW w:w="11766" w:type="dxa"/>
          </w:tcPr>
          <w:p w:rsidR="00EE4A3F" w:rsidRDefault="00EE4A3F" w:rsidP="00E83221">
            <w:pPr>
              <w:jc w:val="center"/>
              <w:cnfStyle w:val="100000000000" w:firstRow="1" w:lastRow="0" w:firstColumn="0" w:lastColumn="0" w:oddVBand="0" w:evenVBand="0" w:oddHBand="0" w:evenHBand="0" w:firstRowFirstColumn="0" w:firstRowLastColumn="0" w:lastRowFirstColumn="0" w:lastRowLastColumn="0"/>
            </w:pPr>
            <w:bookmarkStart w:id="0" w:name="_GoBack"/>
            <w:proofErr w:type="spellStart"/>
            <w:r>
              <w:t>Chla</w:t>
            </w:r>
            <w:bookmarkEnd w:id="0"/>
            <w:proofErr w:type="spellEnd"/>
          </w:p>
        </w:tc>
      </w:tr>
      <w:tr w:rsidR="00EE4A3F" w:rsidTr="00E8322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58" w:type="dxa"/>
            <w:textDirection w:val="btLr"/>
          </w:tcPr>
          <w:p w:rsidR="00EE4A3F" w:rsidRDefault="00EE4A3F" w:rsidP="00BD6294">
            <w:pPr>
              <w:ind w:left="113" w:right="113"/>
            </w:pPr>
            <w:r>
              <w:t>Tamaulipas</w:t>
            </w:r>
          </w:p>
        </w:tc>
        <w:tc>
          <w:tcPr>
            <w:tcW w:w="11766" w:type="dxa"/>
          </w:tcPr>
          <w:p w:rsidR="00EE4A3F" w:rsidRDefault="00EE4A3F" w:rsidP="00BD6294">
            <w:pPr>
              <w:cnfStyle w:val="000000100000" w:firstRow="0" w:lastRow="0" w:firstColumn="0" w:lastColumn="0" w:oddVBand="0" w:evenVBand="0" w:oddHBand="1" w:evenHBand="0" w:firstRowFirstColumn="0" w:firstRowLastColumn="0" w:lastRowFirstColumn="0" w:lastRowLastColumn="0"/>
            </w:pPr>
            <w:r>
              <w:t xml:space="preserve">Concentraciones superiores a 0.5 al norte de Tampico (TAM) y de 1 mg/m3 al norte de la desembocadura del río Soto la Marina. La ubicación de la </w:t>
            </w:r>
            <w:proofErr w:type="spellStart"/>
            <w:r>
              <w:t>isolínea</w:t>
            </w:r>
            <w:proofErr w:type="spellEnd"/>
            <w:r>
              <w:t xml:space="preserve"> de 0.2 mg/m3 sugiere la presencia de un giro anticiclónico en la zona oceánica.</w:t>
            </w:r>
          </w:p>
        </w:tc>
      </w:tr>
      <w:tr w:rsidR="00EE4A3F" w:rsidTr="00E83221">
        <w:trPr>
          <w:trHeight w:val="1134"/>
        </w:trPr>
        <w:tc>
          <w:tcPr>
            <w:cnfStyle w:val="001000000000" w:firstRow="0" w:lastRow="0" w:firstColumn="1" w:lastColumn="0" w:oddVBand="0" w:evenVBand="0" w:oddHBand="0" w:evenHBand="0" w:firstRowFirstColumn="0" w:firstRowLastColumn="0" w:lastRowFirstColumn="0" w:lastRowLastColumn="0"/>
            <w:tcW w:w="958" w:type="dxa"/>
            <w:textDirection w:val="btLr"/>
          </w:tcPr>
          <w:p w:rsidR="00EE4A3F" w:rsidRDefault="00EE4A3F" w:rsidP="00BD6294">
            <w:pPr>
              <w:ind w:left="113" w:right="113"/>
            </w:pPr>
            <w:r>
              <w:t>Veracruz</w:t>
            </w:r>
          </w:p>
        </w:tc>
        <w:tc>
          <w:tcPr>
            <w:tcW w:w="11766" w:type="dxa"/>
          </w:tcPr>
          <w:p w:rsidR="00EE4A3F" w:rsidRDefault="00EE4A3F" w:rsidP="00BD6294">
            <w:pPr>
              <w:cnfStyle w:val="000000000000" w:firstRow="0" w:lastRow="0" w:firstColumn="0" w:lastColumn="0" w:oddVBand="0" w:evenVBand="0" w:oddHBand="0" w:evenHBand="0" w:firstRowFirstColumn="0" w:firstRowLastColumn="0" w:lastRowFirstColumn="0" w:lastRowLastColumn="0"/>
            </w:pPr>
            <w:r>
              <w:t xml:space="preserve">Concentraciones bajas (0.2 mg/m3) en la costa comprendida entre Veracruz (VER) y Tampico (TAM), excepto al sur de </w:t>
            </w:r>
            <w:proofErr w:type="spellStart"/>
            <w:r>
              <w:t>Tamiahua</w:t>
            </w:r>
            <w:proofErr w:type="spellEnd"/>
            <w:r>
              <w:t xml:space="preserve">. Concentraciones elevadas entre Coatzacoalcos </w:t>
            </w:r>
            <w:proofErr w:type="gramStart"/>
            <w:r>
              <w:t>( C</w:t>
            </w:r>
            <w:proofErr w:type="gramEnd"/>
            <w:r>
              <w:t>) y la frontera con Tabasco.</w:t>
            </w:r>
          </w:p>
        </w:tc>
      </w:tr>
      <w:tr w:rsidR="00EE4A3F" w:rsidTr="00E8322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58" w:type="dxa"/>
            <w:textDirection w:val="btLr"/>
          </w:tcPr>
          <w:p w:rsidR="00EE4A3F" w:rsidRDefault="00EE4A3F" w:rsidP="00BD6294">
            <w:pPr>
              <w:ind w:left="113" w:right="113"/>
            </w:pPr>
            <w:r>
              <w:t>G. de Campeche</w:t>
            </w:r>
          </w:p>
        </w:tc>
        <w:tc>
          <w:tcPr>
            <w:tcW w:w="11766" w:type="dxa"/>
          </w:tcPr>
          <w:p w:rsidR="00EE4A3F" w:rsidRDefault="00EE4A3F" w:rsidP="00BD6294">
            <w:pPr>
              <w:cnfStyle w:val="000000100000" w:firstRow="0" w:lastRow="0" w:firstColumn="0" w:lastColumn="0" w:oddVBand="0" w:evenVBand="0" w:oddHBand="1" w:evenHBand="0" w:firstRowFirstColumn="0" w:firstRowLastColumn="0" w:lastRowFirstColumn="0" w:lastRowLastColumn="0"/>
            </w:pPr>
            <w:r>
              <w:t xml:space="preserve">Concentraciones superiores a 1 mg/m3.  </w:t>
            </w:r>
          </w:p>
        </w:tc>
      </w:tr>
      <w:tr w:rsidR="00EE4A3F" w:rsidTr="00E83221">
        <w:trPr>
          <w:trHeight w:val="1134"/>
        </w:trPr>
        <w:tc>
          <w:tcPr>
            <w:cnfStyle w:val="001000000000" w:firstRow="0" w:lastRow="0" w:firstColumn="1" w:lastColumn="0" w:oddVBand="0" w:evenVBand="0" w:oddHBand="0" w:evenHBand="0" w:firstRowFirstColumn="0" w:firstRowLastColumn="0" w:lastRowFirstColumn="0" w:lastRowLastColumn="0"/>
            <w:tcW w:w="958" w:type="dxa"/>
            <w:textDirection w:val="btLr"/>
          </w:tcPr>
          <w:p w:rsidR="00EE4A3F" w:rsidRDefault="00EE4A3F" w:rsidP="00BD6294">
            <w:pPr>
              <w:ind w:left="113" w:right="113"/>
            </w:pPr>
            <w:r>
              <w:t>Tabasco-Campeche</w:t>
            </w:r>
          </w:p>
        </w:tc>
        <w:tc>
          <w:tcPr>
            <w:tcW w:w="11766" w:type="dxa"/>
          </w:tcPr>
          <w:p w:rsidR="00EE4A3F" w:rsidRDefault="00EE4A3F" w:rsidP="00BD6294">
            <w:pPr>
              <w:cnfStyle w:val="000000000000" w:firstRow="0" w:lastRow="0" w:firstColumn="0" w:lastColumn="0" w:oddVBand="0" w:evenVBand="0" w:oddHBand="0" w:evenHBand="0" w:firstRowFirstColumn="0" w:firstRowLastColumn="0" w:lastRowFirstColumn="0" w:lastRowLastColumn="0"/>
            </w:pPr>
            <w:r>
              <w:t>Concentraciones elevadas (&gt; 1mg/m3) en una franja que abarca desde Coatzacoalcos ( C) hasta Puerto Progreso (D), con concentraciones mayores a 5 mg frente a Campeche, Camp.</w:t>
            </w:r>
          </w:p>
        </w:tc>
      </w:tr>
      <w:tr w:rsidR="00EE4A3F" w:rsidTr="00E8322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58" w:type="dxa"/>
            <w:textDirection w:val="btLr"/>
          </w:tcPr>
          <w:p w:rsidR="00EE4A3F" w:rsidRDefault="00EE4A3F" w:rsidP="00BD6294">
            <w:pPr>
              <w:ind w:left="113" w:right="113"/>
            </w:pPr>
            <w:r>
              <w:t>Costa norte de Yucatán</w:t>
            </w:r>
          </w:p>
        </w:tc>
        <w:tc>
          <w:tcPr>
            <w:tcW w:w="11766" w:type="dxa"/>
          </w:tcPr>
          <w:p w:rsidR="00EE4A3F" w:rsidRDefault="00EE4A3F" w:rsidP="00BD6294">
            <w:pPr>
              <w:cnfStyle w:val="000000100000" w:firstRow="0" w:lastRow="0" w:firstColumn="0" w:lastColumn="0" w:oddVBand="0" w:evenVBand="0" w:oddHBand="1" w:evenHBand="0" w:firstRowFirstColumn="0" w:firstRowLastColumn="0" w:lastRowFirstColumn="0" w:lastRowLastColumn="0"/>
            </w:pPr>
            <w:r>
              <w:t>Continua la franja de concentraciones elevadas que se encuentra frente a la costa de Tabasco y Campeche, pero se adelgaza a partir de puerto progreso (D)</w:t>
            </w:r>
          </w:p>
        </w:tc>
      </w:tr>
      <w:tr w:rsidR="00EE4A3F" w:rsidTr="00E83221">
        <w:trPr>
          <w:trHeight w:val="1134"/>
        </w:trPr>
        <w:tc>
          <w:tcPr>
            <w:cnfStyle w:val="001000000000" w:firstRow="0" w:lastRow="0" w:firstColumn="1" w:lastColumn="0" w:oddVBand="0" w:evenVBand="0" w:oddHBand="0" w:evenHBand="0" w:firstRowFirstColumn="0" w:firstRowLastColumn="0" w:lastRowFirstColumn="0" w:lastRowLastColumn="0"/>
            <w:tcW w:w="958" w:type="dxa"/>
            <w:textDirection w:val="btLr"/>
          </w:tcPr>
          <w:p w:rsidR="00EE4A3F" w:rsidRDefault="00EE4A3F" w:rsidP="00BD6294">
            <w:pPr>
              <w:ind w:left="113" w:right="113"/>
            </w:pPr>
            <w:r>
              <w:t>Quintana Roo</w:t>
            </w:r>
          </w:p>
        </w:tc>
        <w:tc>
          <w:tcPr>
            <w:tcW w:w="11766" w:type="dxa"/>
          </w:tcPr>
          <w:p w:rsidR="00EE4A3F" w:rsidRDefault="00EE4A3F" w:rsidP="00BD6294">
            <w:pPr>
              <w:cnfStyle w:val="000000000000" w:firstRow="0" w:lastRow="0" w:firstColumn="0" w:lastColumn="0" w:oddVBand="0" w:evenVBand="0" w:oddHBand="0" w:evenHBand="0" w:firstRowFirstColumn="0" w:firstRowLastColumn="0" w:lastRowFirstColumn="0" w:lastRowLastColumn="0"/>
            </w:pPr>
            <w:r>
              <w:t>Concentraciones menores a 0.2 mg/m3 desde Cabo Catoche hasta Isla Mujeres (ISJ)</w:t>
            </w:r>
          </w:p>
        </w:tc>
      </w:tr>
    </w:tbl>
    <w:p w:rsidR="00EE4A3F" w:rsidRDefault="00EE4A3F" w:rsidP="00EE4A3F">
      <w:pPr>
        <w:spacing w:before="240" w:after="0"/>
      </w:pPr>
      <w:r w:rsidRPr="00366039">
        <w:rPr>
          <w:b/>
        </w:rPr>
        <w:t>Anomalías.</w:t>
      </w:r>
      <w:r>
        <w:t xml:space="preserve"> La mayor parte de la costa del océano pacifico presenta anomalías negativas, excepto en la costa noroccidental de BC, en las inmediaciones de Punta Eugenia, el interior del Golfo de California, la zona de influencia de la </w:t>
      </w:r>
      <w:proofErr w:type="spellStart"/>
      <w:r>
        <w:t>surgencia</w:t>
      </w:r>
      <w:proofErr w:type="spellEnd"/>
      <w:r>
        <w:t xml:space="preserve"> de Bahía Banderas, la costa sur de Oaxaca. En el Golfo de México, la situación es semejante a la del Pacifico, pero las áreas anomalías positivas solo se encuentran en la plataforma de Campeche ubicada frente a la ciudad del mismo nombre. </w:t>
      </w:r>
    </w:p>
    <w:p w:rsidR="00EE4A3F" w:rsidRDefault="00EE4A3F"/>
    <w:p w:rsidR="00EE4A3F" w:rsidRDefault="00EE4A3F"/>
    <w:sectPr w:rsidR="00EE4A3F" w:rsidSect="00E83221">
      <w:pgSz w:w="14175" w:h="2835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A3F"/>
    <w:rsid w:val="000346AD"/>
    <w:rsid w:val="00065676"/>
    <w:rsid w:val="000D6463"/>
    <w:rsid w:val="000E39EC"/>
    <w:rsid w:val="000E644D"/>
    <w:rsid w:val="00106DC1"/>
    <w:rsid w:val="00165574"/>
    <w:rsid w:val="0021357A"/>
    <w:rsid w:val="002158B5"/>
    <w:rsid w:val="002514FD"/>
    <w:rsid w:val="00277067"/>
    <w:rsid w:val="002937EF"/>
    <w:rsid w:val="002A13D3"/>
    <w:rsid w:val="00340AAB"/>
    <w:rsid w:val="00356588"/>
    <w:rsid w:val="003A0821"/>
    <w:rsid w:val="003C058A"/>
    <w:rsid w:val="003D2807"/>
    <w:rsid w:val="003F69B2"/>
    <w:rsid w:val="0041577E"/>
    <w:rsid w:val="004B19B3"/>
    <w:rsid w:val="004D28E5"/>
    <w:rsid w:val="00500CF7"/>
    <w:rsid w:val="005441A8"/>
    <w:rsid w:val="005A5E18"/>
    <w:rsid w:val="005A60BA"/>
    <w:rsid w:val="00612C64"/>
    <w:rsid w:val="00642425"/>
    <w:rsid w:val="00682890"/>
    <w:rsid w:val="00692842"/>
    <w:rsid w:val="006A56FD"/>
    <w:rsid w:val="006D3634"/>
    <w:rsid w:val="00732836"/>
    <w:rsid w:val="0075608C"/>
    <w:rsid w:val="00773B5D"/>
    <w:rsid w:val="00775AB5"/>
    <w:rsid w:val="007D18B5"/>
    <w:rsid w:val="008062E7"/>
    <w:rsid w:val="00847BEC"/>
    <w:rsid w:val="00894FCA"/>
    <w:rsid w:val="008B4D3A"/>
    <w:rsid w:val="008B6807"/>
    <w:rsid w:val="008F000B"/>
    <w:rsid w:val="00926CAD"/>
    <w:rsid w:val="00961FA2"/>
    <w:rsid w:val="00997E78"/>
    <w:rsid w:val="00A0278E"/>
    <w:rsid w:val="00A526AB"/>
    <w:rsid w:val="00AB1D49"/>
    <w:rsid w:val="00BC2E40"/>
    <w:rsid w:val="00BE766C"/>
    <w:rsid w:val="00C014BB"/>
    <w:rsid w:val="00C92A5A"/>
    <w:rsid w:val="00CB24F2"/>
    <w:rsid w:val="00CF6858"/>
    <w:rsid w:val="00CF6BAE"/>
    <w:rsid w:val="00CF7D09"/>
    <w:rsid w:val="00D05EA4"/>
    <w:rsid w:val="00D920FE"/>
    <w:rsid w:val="00DA69C0"/>
    <w:rsid w:val="00DF134C"/>
    <w:rsid w:val="00E83221"/>
    <w:rsid w:val="00ED174A"/>
    <w:rsid w:val="00EE4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4A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A3F"/>
    <w:rPr>
      <w:rFonts w:ascii="Tahoma" w:hAnsi="Tahoma" w:cs="Tahoma"/>
      <w:sz w:val="16"/>
      <w:szCs w:val="16"/>
    </w:rPr>
  </w:style>
  <w:style w:type="table" w:styleId="Tablaconcuadrcula">
    <w:name w:val="Table Grid"/>
    <w:basedOn w:val="Tablanormal"/>
    <w:uiPriority w:val="59"/>
    <w:rsid w:val="00EE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5">
    <w:name w:val="Medium Grid 3 Accent 5"/>
    <w:basedOn w:val="Tablanormal"/>
    <w:uiPriority w:val="69"/>
    <w:rsid w:val="00E8322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E8322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1">
    <w:name w:val="Colorful Grid Accent 1"/>
    <w:basedOn w:val="Tablanormal"/>
    <w:uiPriority w:val="73"/>
    <w:rsid w:val="00E8322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4A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A3F"/>
    <w:rPr>
      <w:rFonts w:ascii="Tahoma" w:hAnsi="Tahoma" w:cs="Tahoma"/>
      <w:sz w:val="16"/>
      <w:szCs w:val="16"/>
    </w:rPr>
  </w:style>
  <w:style w:type="table" w:styleId="Tablaconcuadrcula">
    <w:name w:val="Table Grid"/>
    <w:basedOn w:val="Tablanormal"/>
    <w:uiPriority w:val="59"/>
    <w:rsid w:val="00EE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5">
    <w:name w:val="Medium Grid 3 Accent 5"/>
    <w:basedOn w:val="Tablanormal"/>
    <w:uiPriority w:val="69"/>
    <w:rsid w:val="00E8322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E8322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1">
    <w:name w:val="Colorful Grid Accent 1"/>
    <w:basedOn w:val="Tablanormal"/>
    <w:uiPriority w:val="73"/>
    <w:rsid w:val="00E8322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H00-2005LF</dc:creator>
  <cp:lastModifiedBy>H00-2005LF</cp:lastModifiedBy>
  <cp:revision>3</cp:revision>
  <dcterms:created xsi:type="dcterms:W3CDTF">2013-07-02T17:07:00Z</dcterms:created>
  <dcterms:modified xsi:type="dcterms:W3CDTF">2013-07-03T15:21:00Z</dcterms:modified>
</cp:coreProperties>
</file>